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673"/>
        <w:gridCol w:w="1446"/>
        <w:gridCol w:w="283"/>
        <w:gridCol w:w="1619"/>
        <w:gridCol w:w="2025"/>
        <w:gridCol w:w="236"/>
        <w:gridCol w:w="3350"/>
        <w:gridCol w:w="248"/>
      </w:tblGrid>
      <w:tr w:rsidR="00FE2A7E" w:rsidRPr="00FE2A7E" w:rsidTr="00FE2A7E">
        <w:trPr>
          <w:trHeight w:val="255"/>
        </w:trPr>
        <w:tc>
          <w:tcPr>
            <w:tcW w:w="1673"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Level</w:t>
            </w:r>
          </w:p>
        </w:tc>
        <w:tc>
          <w:tcPr>
            <w:tcW w:w="1446"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644"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Provinsi Papua Barat</w:t>
            </w:r>
          </w:p>
        </w:tc>
        <w:tc>
          <w:tcPr>
            <w:tcW w:w="236"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35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3119"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644"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 Kapasitas Pemerintah</w:t>
            </w:r>
          </w:p>
        </w:tc>
        <w:tc>
          <w:tcPr>
            <w:tcW w:w="236"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35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673"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025"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335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3402"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45"/>
        </w:trPr>
        <w:tc>
          <w:tcPr>
            <w:tcW w:w="3119"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FE2A7E" w:rsidRPr="00FE2A7E" w:rsidTr="00FE2A7E">
        <w:trPr>
          <w:trHeight w:val="255"/>
        </w:trPr>
        <w:tc>
          <w:tcPr>
            <w:tcW w:w="3119"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bl>
    <w:p w:rsidR="00FE2A7E" w:rsidRDefault="00FE2A7E"/>
    <w:tbl>
      <w:tblPr>
        <w:tblW w:w="4953" w:type="pct"/>
        <w:tblInd w:w="103" w:type="dxa"/>
        <w:tblLayout w:type="fixed"/>
        <w:tblLook w:val="04A0"/>
      </w:tblPr>
      <w:tblGrid>
        <w:gridCol w:w="714"/>
        <w:gridCol w:w="1169"/>
        <w:gridCol w:w="1660"/>
        <w:gridCol w:w="1039"/>
        <w:gridCol w:w="1519"/>
        <w:gridCol w:w="1231"/>
        <w:gridCol w:w="2171"/>
        <w:gridCol w:w="1382"/>
      </w:tblGrid>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4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BIa1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Latar belakang Pendidikan formal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Kepala Sub Bag. Perencanaan adalah S1 Kehutanan. Perencana Perlindungan Hutan dan Konservasi Alam pada Bidang Pengamanan Hutan adalah sarjana kehutanan. Perencana Produksu dan perijinan Kehutanan pd Bidang Produksi dan Peredaran Hasil Hutan adalah juga sarjana kehutanan.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Latar belakang pendidikan formal SDM yang bertugas dalam Unit Perencana  kurang memadai. Hanya ada 2 orang S1 Manajemen Kehutanan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tidak ada karena kantor PU sedang dalam proses pemindahan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Latar belakang pendidikan formal SDM yang bertugas di unit perencana kurang memadai. Planologi butuh 3 orang sekarang baru 2 orang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02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Staf Perencanaan adalah Sarjana Ekonomi Pembanginan  dan Staf Sub Bag Perencanaan adalah lulusan IPDN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Latar belakang pendidikan formal SDM yang bertugas  dalam unit perencana tidak memadai. Unit perencanaan terdiri dari S1 Teknik Sipil, S1 Pemerintahan dam S1 Hukum. Tidak ada lulusan planologi di Bappeda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6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BIa2</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Lama waktu kerja sebagai perencana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Kepala Sub Bagian Perencanaan sudah bekerja sejak tahun 2000.  Sementara kedua tenaga perencana telah bekerja sejak tahun 2006 berdasarkan dokumen daftar urut kepangkatan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Lama waktu kerja sebagai perencana SDM yang betugas dalam Unit Perencana  cukup memadai, karena tenaga perencana  sudah berpengalaman selama lebih dari 5 tahun. Keduanya bekerja sejak tahun 2007</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tidak ada karena kantor PU sedang dalam proses pemindahan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Lama waktu bekerja sebagai perencana tidak memadai karena belum sampai 5 tahun, baru PNS bahkan  belum prajab</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yang menunjukkan lama waktu kerja tdk tersedia</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Lama  waktu kerja sebagai perencana dari SDM yang bertugas dalam Unit Perencana cukup memadai, karena rata-rata sudah diatas 5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5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BIa3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Sertifikat perencanaan wilayah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SDM yang sudah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semuanya belum memiliki sertifikat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51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SDM yang sudah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belum memiliki sertifikat perencanaan wilayah</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51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SDM yang sudah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belum ada yang bersertifikat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630"/>
        </w:trPr>
        <w:tc>
          <w:tcPr>
            <w:tcW w:w="3543"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Kepala SKPD, dan Kepala Bagian Perencanaan</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BIb1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Latar belakang Pendidikan formal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Kepala Sub Bag. Perencanaan adalah S1 Kehutanan. Perencana Perlindungan Hutan dan Konservasi Alam pada Bidang Pengamanan Hutan adalah sarjana kehutanan. Perencana Produksu dan perijinan Kehutanan pd Bidang Produksi dan Peredaran Hasil Hutan adalah juga sarjana kehutanan.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Latar belakang pendidikan formal SDM yang bertugas dalam Unit Perencana  kurang memadai. Hanya ada 2 orang S1 Manajemen Kehutanan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51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tidak ada karena kantor PU sedang dalam proses pemindahan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Latar belakang pendidikan formal SDM yang bertugas di unite perencana tidak memadai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02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Staf Perencanaan adalah Sarjana Ekonomi Pembanginan  dan Staf Sub Bag Perencanaan adalah lulusan IPDN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Latar belakang pendidikan formal SDM yang bertugas dalam unit yang melaksanakan status dan fungsi kawasan hutan  tidak memadai, karena  hanya ada 1 yang lulusan kehutanan dan baru PNS</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37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68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BIb2</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Lama waktu kerja sebagai perencana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Kepala Sub Bagian Perencanaan sudah bekerja sejak tahun 2000.  Sementara kedua tenaga perencana telah bekerja sejak tahun 2006 berdasarkan dokumen daftar urut kepangkatan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Lama waktu kerja sebagai perencana SDM yang betugas dalam Unit Perencana  cukup memadai, karena tenaga perencana  sudah berpengalaman selama lebih dari 5 tahun. Keduanya bekerja sejak tahun 2007</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Dokumen tidak ada karena kantor PU sedang dalam proses </w:t>
            </w:r>
            <w:r w:rsidRPr="00FE2A7E">
              <w:rPr>
                <w:rFonts w:ascii="Times New Roman" w:eastAsia="Times New Roman" w:hAnsi="Times New Roman" w:cs="Times New Roman"/>
                <w:color w:val="000000"/>
                <w:sz w:val="20"/>
                <w:szCs w:val="20"/>
                <w:lang w:eastAsia="id-ID"/>
              </w:rPr>
              <w:lastRenderedPageBreak/>
              <w:t>pemindahan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Lama waktu bekerja sebagai perencana tidak memadai. Karena Tata Ruang baru terbentuk dan belum tahu tupoksi </w:t>
            </w:r>
            <w:r w:rsidRPr="00FE2A7E">
              <w:rPr>
                <w:rFonts w:ascii="Times New Roman" w:eastAsia="Times New Roman" w:hAnsi="Times New Roman" w:cs="Times New Roman"/>
                <w:color w:val="000000"/>
                <w:sz w:val="20"/>
                <w:szCs w:val="20"/>
                <w:lang w:eastAsia="id-ID"/>
              </w:rPr>
              <w:lastRenderedPageBreak/>
              <w:t>apa yang harus dikerjakan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1</w:t>
            </w:r>
          </w:p>
        </w:tc>
      </w:tr>
      <w:tr w:rsidR="00FE2A7E" w:rsidRPr="00FE2A7E" w:rsidTr="00FE2A7E">
        <w:trPr>
          <w:trHeight w:val="102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Staf Perencanaan baru bekerja sejak 2009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Lama waktu kerja sebagai perencana dari SDM  yang bertugas dalam unit yang melaksanakan status dan fungsi kawasan hutan tidak memadai  karena belum sampai 5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49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BIb3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Sertifikat perencanaan wilayah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semuanya belum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semuanya belum memiliki sertifikat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semuanya belum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unite perencana semuanya belum memiliki sertifikat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29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Bappeda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semuanya belum memiliki sertifikat</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dalam unit perencana yang bertugas dalam unit yang melaksanakan status dan fungsi  kawasan hutan tidak memiliki sertifikat. Dalam analisis jabatan, sudah 2 tahun belum ada penerimaan pegawai. Penerimaan pegawai juga tidak melalui  jalur murni karena harus mengakomodasi lulusan-lulusan dari sekolah kekaryaan seperti STPDN, dll. Belum lagi penerimaan pegawai masih dibagi lagi dengan vertikal dan otonom.</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43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BKTR</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3543"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FE2A7E" w:rsidRPr="00FE2A7E" w:rsidTr="00FE2A7E">
        <w:trPr>
          <w:trHeight w:val="69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Usulan kegiatan dan DIPA pada tahun yang sama tiga tahun kebelakang,</w:t>
            </w:r>
            <w:r w:rsidRPr="00FE2A7E">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3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BIc1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TAhun 2011 usulan utk Pemantapan Kawasan Hutan sebesar 16.472.389.000 dengan 422.700.000 diperuntukkan bagi monitoring pelaksanaan RTRWP dan Tata Batas Wilayah Administrasi di Propinsi Papua Barat. Pada tahun 2012, usulan Untuk inventarisasi hutan dan pemetaan sebesar 2.760.630.000 Tahun 2013, usulan bagi inventarisasi Hutan dan Pemantapan Kawasan Hutan sebesar 2.100.000.000</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r>
      <w:tr w:rsidR="00FE2A7E" w:rsidRPr="00FE2A7E" w:rsidTr="00FE2A7E">
        <w:trPr>
          <w:trHeight w:val="51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Dinas Pertanian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Instansi tidak bersedia memberikan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r>
      <w:tr w:rsidR="00FE2A7E" w:rsidRPr="00FE2A7E" w:rsidTr="00FE2A7E">
        <w:trPr>
          <w:trHeight w:val="51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BPN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Instansi tidak bersedia memberikan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FE2A7E" w:rsidRPr="00FE2A7E" w:rsidTr="00FE2A7E">
        <w:trPr>
          <w:trHeight w:val="67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nil"/>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1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BId1</w:t>
            </w:r>
          </w:p>
        </w:tc>
        <w:tc>
          <w:tcPr>
            <w:tcW w:w="1169"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Pembagian tugas</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 pendapat Anda mengenai Pembagian Tugas dalam SOP penyelesaian konflik perencanaan kawasan di </w:t>
            </w:r>
            <w:r w:rsidRPr="00FE2A7E">
              <w:rPr>
                <w:rFonts w:ascii="Times New Roman" w:eastAsia="Times New Roman" w:hAnsi="Times New Roman" w:cs="Times New Roman"/>
                <w:color w:val="000000"/>
                <w:sz w:val="20"/>
                <w:szCs w:val="20"/>
                <w:lang w:eastAsia="id-ID"/>
              </w:rPr>
              <w:lastRenderedPageBreak/>
              <w:t>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Pembagian tugas dalam SOP penyelesaian konflik  perencanaan kawasan tidak memadai karena tidak ada SOP, penyelesaian konflik hanya berdasar pengaduan masyarakat.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78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Pembagian tugas dalam SOP penyelesaian konflik perencanaan kawasan cukup memadai. Walaupun belum asda SOP tapi selama ini penyelesaian konflik dilakukan bersama-sama dengan intak. Bagian perlindungan sebagai pengawas. Persoalan konflik jarang terjadi dan penyelesaiannya sesuai ketentuan kepemilikan wilayah</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BId2</w:t>
            </w:r>
          </w:p>
        </w:tc>
        <w:tc>
          <w:tcPr>
            <w:tcW w:w="1169"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Struktur Organisasi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Struktur Organisasi dalam SOP penyelesaian konflik perencanaan kawasan di instansi kehutanan tidak memadai. Belum ada SOP  maka struktur pengaduan juga belum ada.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Struktur Organisasi dalam SOP penyelesaian konflik perencanaan wilayah tidak memadai karena belum ada. Semua bekerja sesuai tupoksi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8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BId3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Tahapan pelaksanaan penyelesaian konflik</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Tahapan pelaksanaan penyelesaian dalam SOP penyelesaian konflik perencanaan kawasan  tidak memadai karena belum ada SOP  dan jarang ada masalah di bagian perencanaan,  Kalau ada masalah diserahkan ke gubernur</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Tahapan pelaksanaan dalam SOP penyelesaian konflik perencanaan kawasan cukup memasai karena sesuai prosedur. Diawali dengan duduk bersama antar bidang sehingga ada koordinasi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BId4</w:t>
            </w:r>
          </w:p>
        </w:tc>
        <w:tc>
          <w:tcPr>
            <w:tcW w:w="1169"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Keterlibatan masyarakat</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 pendapat Anda mengenai Ke-terlibatan masyarakat dalam SOP penyelesaian konflik perencanaan kawasan di instansi </w:t>
            </w:r>
            <w:r w:rsidRPr="00FE2A7E">
              <w:rPr>
                <w:rFonts w:ascii="Times New Roman" w:eastAsia="Times New Roman" w:hAnsi="Times New Roman" w:cs="Times New Roman"/>
                <w:color w:val="000000"/>
                <w:sz w:val="20"/>
                <w:szCs w:val="20"/>
                <w:lang w:eastAsia="id-ID"/>
              </w:rPr>
              <w:lastRenderedPageBreak/>
              <w:t>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Keterlibatan masyarakat dalam SOP  penyelesaian konflik perencanaan kawasan tidak memadai karena SOP  belum ada. Tapi penyelesaian konflik selalu mengundang masyarakat dan mereka cukup dominan.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Keterlibatan masyarakat dalam SOP penyelesaian konflik perencanaan kawasan cukup memadai karena ada struktur-struktur di masyarakat baik DAP maupun LMA sehingga harus melibatkan mereka yang tahu soal wilayah adat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8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BId5</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pengambilan keputusan</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pengambilan keputusan dalam SOP penyelesaian konflik perencanaan kawasan tidak memadai karena SOP tidak ada tapi dalam penyelesaian konflik  informasi digali dari bawah, misalnya untuk tata ruang dan tata wilayah.</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pengambilan keputusan  dalam SOP penyelesaian konflik perencanaan kawasan tidak memadai karena tergantyung kepercayaan masarakat terhadap suatu keputusan. Otonnomi khusus dan hak-hak masyarakat yang tidak tertulis harus sejalan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BId6</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penyelesaian konflik</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penyelesaian konflik dalam SOP penyelesaian konflik perencanaan kawasan  tidak memadai karena SOP tidak ada. Namun dalam penyelesaian konflik tata waktu tergantung jangkauan . Misalnya kalau dari Bintuni, harus menunggu.</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penyelesaian konflik dalam SOP penyelesaian konflik perencanaan kawasan tidak memadai karena ada tantangan membuat masyarakat yakin berjalannya penyelesaian konflik. Tergantung penerimaan masyarakat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60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BId7</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penyampaian informasi proses dan hasil penyelesaian konflik</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penyampaian informasi proses dan hasil penyelesaian konflik dalam SOP penyelesaian konflik perencanaan kawasan tidak memadai karena belum ada SOP namun penyelesaian konflik selalu dibuat rumusan rapatnya dan dilaporkan ke Gubernur.</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53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SOP</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Penyampaian informasi proses dan hasil penyelesaian konflik dalam SOP penyelesaian konflik perencanaan kawasan  cukup memdai. Selama ini penyampaianinformasi proses dan hasil penyelesaian konflik disosialisasikan dengan duduk bersama antar bidang juga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78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BIe1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DPRD</w:t>
            </w:r>
          </w:p>
        </w:tc>
        <w:tc>
          <w:tcPr>
            <w:tcW w:w="1519"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legislator yang memperjuangkan perencanaan wilayah berbasis kelestarian hutan dan berkeadilan bagi masyarakat cukup memadai. Dari 11 anggota komisi C DPRP Propinsi papua Barat ada 6 orang yang sering memperjuangkan kelestarian hutan.. Mereka yang  membuat raperda tentang konservasi hutan, air, sampah dan emisi gas</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legislator yang memperjuangkan perencanaan wilayah berbasis kelestarian huatan dan berkeadilan bagi masyarakat ada di komisi C, dan jumlahnya kurang dari 5 orang, antara lain Obed Ayok dan Isak </w:t>
            </w:r>
            <w:r w:rsidRPr="00FE2A7E">
              <w:rPr>
                <w:rFonts w:ascii="Times New Roman" w:eastAsia="Times New Roman" w:hAnsi="Times New Roman" w:cs="Times New Roman"/>
                <w:color w:val="000000"/>
                <w:sz w:val="20"/>
                <w:szCs w:val="20"/>
                <w:lang w:eastAsia="id-ID"/>
              </w:rPr>
              <w:lastRenderedPageBreak/>
              <w:t>Bahamba.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2</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PU</w:t>
            </w:r>
          </w:p>
        </w:tc>
        <w:tc>
          <w:tcPr>
            <w:tcW w:w="1519"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legislatir yang memperjuangkan perencanaan wilayah berbasis hutan dan berkeadilan bagi masyarakat cukup memadai. Hampir semua responsif terhadap masalah lingkungan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331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LSM</w:t>
            </w:r>
          </w:p>
        </w:tc>
        <w:tc>
          <w:tcPr>
            <w:tcW w:w="1519"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Kurang memadai, dari 44 orang, hanya 1-2 saja yang punya perhatian terhadap hal tersebut.  Indikator sederhana adalah draft RTRW sudah dikirim ke pusat, sudah ada tim terpadu  yang dibentuk, tapi belum ditindaklanjuti. Prosesnya tidak partisipatif, praktis tidak ada proses konsultasi. Pernah ada bahasan soal REDD+ , hanya dipresentasikan secara singkat. Pernah menyusun Renstra REDD+, tapi ketika diundang tidak ada yang hadir dari DPRD. Yang hadir BPKH, Litbang BAPPEDA, Dinas Kehutanan, BAPELDADA, PERDU, dan CI.  DPRD, Dinas Pertanian, Dinas Pertambangan. Rata-rata tidak  tahu persis apa itu REDD apalagi REDD+.</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04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Jurnalis</w:t>
            </w:r>
          </w:p>
        </w:tc>
        <w:tc>
          <w:tcPr>
            <w:tcW w:w="1519" w:type="dxa"/>
            <w:tcBorders>
              <w:top w:val="nil"/>
              <w:left w:val="nil"/>
              <w:bottom w:val="single" w:sz="4" w:space="0" w:color="auto"/>
              <w:right w:val="single" w:sz="4" w:space="0" w:color="auto"/>
            </w:tcBorders>
            <w:shd w:val="clear" w:color="000000" w:fill="000000"/>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Ada  beberapa anggota legislatif yang punya perhatian karena memang background mereka sebagai aktifis lingkungan. Jumlahnya sekitar 2 orang dan bukan dibawah komisi yang mengurusi masalah pengelolaan dan pemanfaatan hutan. Hal ini disayangkan  karena Papua Barat rawan konflik.  Isu muncul tapi secara </w:t>
            </w:r>
            <w:r w:rsidRPr="00FE2A7E">
              <w:rPr>
                <w:rFonts w:ascii="Times New Roman" w:eastAsia="Times New Roman" w:hAnsi="Times New Roman" w:cs="Times New Roman"/>
                <w:color w:val="000000"/>
                <w:sz w:val="20"/>
                <w:szCs w:val="20"/>
                <w:lang w:eastAsia="id-ID"/>
              </w:rPr>
              <w:lastRenderedPageBreak/>
              <w:t>teknis tidak pernah tertangani. Legislator jarang bicara soal hal tersebut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2</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II. Pengaturan Hak  </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70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18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BIIa1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Kondisi realisasi rencana kebutuhan SDM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rencana kebutuhan SDM sudah terpenuhi?</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Tidak ada dokumen yang menjelaskan rencana kebutuhan SDM. Tapi dalam dokumen daftar urut kepangkatan terdapat 60 pegawai di Dinas Kehutanan dan Perkebunan Propinsi papua Barat,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Kebutuhan SDM pada unit yang mengadministrasikan hak masyarakat dan bisnis belum terpenuhi. Seharusnya kebutuhannya 120 irang. Tapi hanya ada 61 yang tetap dan 18 yang honorer</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Terpenuhi, 50% dari kebutuhan, Rencana kebutuhan  SDM belum  terpenuhi sepenuhnya karena tergantung pemerintah dan apalah tiap tahun bisa dipenuhi atau tidak. Misalnya  tenaga fungsional  untuk perlindungan hutan belum ada (polisi hutan)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1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BIIa2</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Memiliki pendidikan S1 di bidang terkait dengan kehutanan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Kepala Bidang Produksi dan Peredaran Hasil Hutan dan Kepala Bidang Pembinaan Hutan adalah Sarjana S1 bukan dari kehutanan. Kepala Seksi pembinaan masyarakat </w:t>
            </w:r>
            <w:r w:rsidRPr="00FE2A7E">
              <w:rPr>
                <w:rFonts w:ascii="Times New Roman" w:eastAsia="Times New Roman" w:hAnsi="Times New Roman" w:cs="Times New Roman"/>
                <w:color w:val="000000"/>
                <w:sz w:val="20"/>
                <w:szCs w:val="20"/>
                <w:lang w:eastAsia="id-ID"/>
              </w:rPr>
              <w:lastRenderedPageBreak/>
              <w:t>Desa Hutan pada Bidang Pembinaan Hutan adalah Sarjana Pertanian. Kepala Seksi Inventarisasi dan perpetaan pada Bidang Inventarisasi dan Tata Guna Hutan adalah Sarjana Kehutanan. Kepala Seksi Peredaran HasilB hutan pada Bidang Proiduksi dan Peredaran Hasil Hutan adalah Sarjana Kehutanan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Pendidikan SDm yang bertugas pada unit yang mangadministrasikan hak masyarakat dan bisnis memiliki poendidikan yang c ukup memadai yaitu S1 kehutanan. Masuk dalamn bidang-nidang dan semua s1 kehutanan ( 1 bidang 4-5 orang, 1 orang kabida dan sisanya staf)</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86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Pendidikan S1 SDM yang bertugas di unit yang mengadministrasikan hak masyarakat dan bisnis cukup memadai¬. Rata-rata S1 Kehutanan (4 orang), 1 orang Sarjana Hukum, 1 orang Sarjana Pertanian. Ada juga tenaga honorer yang Sarjana Kehutanan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3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BIIa3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(Kepala Dinas Kehutanan dan Perkebunan )</w:t>
            </w:r>
          </w:p>
        </w:tc>
        <w:tc>
          <w:tcPr>
            <w:tcW w:w="151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Berdasarkan No seri Karpeg dapat dilihatg bahwa Kepala Bidang Pembinaan Hutan sudah bekerja sejak 1992. Kepala Bidang Produksi dan Peredaran Hasil Hutan sudah bekerja sejak 1988. Kepala Seksi Pembinaan Masyarakat Desa Hutan pada bidang Pembinaan Hutan sudah bekerja sejak 2001. Dan Kepada Seksi Peredaran Hasil Hutan pada bidang Produksi dan Peredaran hasil Hutan sudah bekerja sejak 2003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bergugas di unit yang mengadministrasikan hak masyarakat dan bisnis memiliki pengalaman kerja yang memadai karena sudah bekerja lebih dari 3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 tyang mengadministrasikan hak masyarakat dan bisnie memiliki pengalaman yang cukup memadai karena rata-rata sudah bekerja lebih dari 3 tahun, walaupun ada yang yang baru 2 tahun (PNS 1 orang)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23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BIIa4</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Pelatihan yang terkait dengan pengadministrasiaan hak-hak </w:t>
            </w:r>
            <w:r w:rsidRPr="00FE2A7E">
              <w:rPr>
                <w:rFonts w:ascii="Times New Roman" w:eastAsia="Times New Roman" w:hAnsi="Times New Roman" w:cs="Times New Roman"/>
                <w:color w:val="000000"/>
                <w:sz w:val="20"/>
                <w:szCs w:val="20"/>
                <w:lang w:eastAsia="id-ID"/>
              </w:rPr>
              <w:lastRenderedPageBreak/>
              <w:t>masyarakat dan bisnis</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 xml:space="preserve">Apakah SDM  yang bertugas pada Unit yang mengadministrasikan hak masyarakat dan </w:t>
            </w:r>
            <w:r w:rsidRPr="00FE2A7E">
              <w:rPr>
                <w:rFonts w:ascii="Times New Roman" w:eastAsia="Times New Roman" w:hAnsi="Times New Roman" w:cs="Times New Roman"/>
                <w:color w:val="000000"/>
                <w:sz w:val="20"/>
                <w:szCs w:val="20"/>
                <w:lang w:eastAsia="id-ID"/>
              </w:rPr>
              <w:lastRenderedPageBreak/>
              <w:t>bisnis di ins-titusi Anda pernah mengikuti pe-latihan yang terkait dengan peng-administrasiaan hak-hak masya-rakat dan bisnis?</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Kehutanan (Kepala Dinas Kehutanan dan Perkebun</w:t>
            </w:r>
            <w:r w:rsidRPr="00FE2A7E">
              <w:rPr>
                <w:rFonts w:ascii="Times New Roman" w:eastAsia="Times New Roman" w:hAnsi="Times New Roman" w:cs="Times New Roman"/>
                <w:color w:val="000000"/>
                <w:sz w:val="20"/>
                <w:szCs w:val="20"/>
                <w:lang w:eastAsia="id-ID"/>
              </w:rPr>
              <w:lastRenderedPageBreak/>
              <w:t>an )</w:t>
            </w:r>
          </w:p>
        </w:tc>
        <w:tc>
          <w:tcPr>
            <w:tcW w:w="151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 xml:space="preserve">SDM yang bertugas di unit yang mengadministrasikan hak masyarakat dan </w:t>
            </w:r>
            <w:r w:rsidRPr="00FE2A7E">
              <w:rPr>
                <w:rFonts w:ascii="Times New Roman" w:eastAsia="Times New Roman" w:hAnsi="Times New Roman" w:cs="Times New Roman"/>
                <w:color w:val="000000"/>
                <w:sz w:val="20"/>
                <w:szCs w:val="20"/>
                <w:lang w:eastAsia="id-ID"/>
              </w:rPr>
              <w:lastRenderedPageBreak/>
              <w:t>bisnis tidak ada yang pernah ikut pelatihan khusus</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SDm yang bertugas di unita yang mengadministrasikan hak masyarakat dan bisnis tidak  ada yang pernah ikut [elatihan </w:t>
            </w:r>
            <w:r w:rsidRPr="00FE2A7E">
              <w:rPr>
                <w:rFonts w:ascii="Times New Roman" w:eastAsia="Times New Roman" w:hAnsi="Times New Roman" w:cs="Times New Roman"/>
                <w:color w:val="000000"/>
                <w:sz w:val="20"/>
                <w:szCs w:val="20"/>
                <w:lang w:eastAsia="id-ID"/>
              </w:rPr>
              <w:lastRenderedPageBreak/>
              <w:t>khusus</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1</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 (Kabid. Pengamanan dan Perlindungan Hutan)</w:t>
            </w:r>
          </w:p>
        </w:tc>
        <w:tc>
          <w:tcPr>
            <w:tcW w:w="151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yang mengadministrasikan hak masyarakat dan bisnis tidak pernah mengikuti pelatihan karena belum pernah ada pelatihan-pelatihan itu</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73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FE2A7E" w:rsidRPr="00FE2A7E" w:rsidTr="00FE2A7E">
        <w:trPr>
          <w:trHeight w:val="61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7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BIIb1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TAhun 2011 usulan utk inventarisasi hutan sebesar 878.262.500 Pada tahun 2012, usulan Untuk inventarisasi hutan dan pemetaan sebesar 2.760.630.000 Tahun 2013, usulan bagi inventarisasi Hutan dan Pemantapan Kawasan Hutan sebesar 2.100.000.000</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dalam DIPA untuk mengadministrasikan hak masyarakat dan bisnis  sama dengan yang diusulkan. 30-40% dana diperuntukkan untuk masyarakat dan yang turun sesuai dengan yang diusulkan bahkan kadang ditambah oleh DPR</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331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DIPA ada di Balai Besar di Sorong. Balai di manokwari tidak bisa memberikan dokumen tersebut tanpa persetujuan dari Balai Besar di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dana untuk komponen pengadministrasian hak masyarakat dan bisnis yang dialokasikan dalam DIPA hampir sama dengan yang diusulkan Rata-rata yang diusulkan hampir 90% sama dengan usulan. Usulan biasanya masuk dalam Rakor Hutda, lalu masuk dalam Rakor Hutwil, Rakorlek (seslon 1), kemudian ke Rakornas. Dengan mekanisme </w:t>
            </w:r>
            <w:r w:rsidRPr="00FE2A7E">
              <w:rPr>
                <w:rFonts w:ascii="Times New Roman" w:eastAsia="Times New Roman" w:hAnsi="Times New Roman" w:cs="Times New Roman"/>
                <w:color w:val="000000"/>
                <w:sz w:val="20"/>
                <w:szCs w:val="20"/>
                <w:lang w:eastAsia="id-ID"/>
              </w:rPr>
              <w:lastRenderedPageBreak/>
              <w:t>seperti ini usulan DIPA tidak banyak perubahan apalagi bila usulannya untuk banguan dan RAD, gambarnya sudah disiapkan di daerah . Yuang sering berubah adalah RAB nya. Membangun fisik punya standar sendiri, sedangkan APBN standarnya beda. Sehingga staf daerah sering pertanyakan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4</w:t>
            </w:r>
          </w:p>
        </w:tc>
      </w:tr>
      <w:tr w:rsidR="00FE2A7E" w:rsidRPr="00FE2A7E" w:rsidTr="00FE2A7E">
        <w:trPr>
          <w:trHeight w:val="316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Pada tahun 2010 usulan DIPA untuk Program Pemantapan Keamanan dalam negeri sebesar 2.878.513.000. Pada tahun ini Penyelesaian Pengurusan Sertifikasi Tanah sebesar 305.000.000. Pada tahun 2011 usulan anggaran untuk loklasi penanganan konflik dan tekanan pada kawasan TN sebesar 1.612.200.000. POada tahun 2012, usulan untuk lokasi penanganan konflik dan tekanan pada kawasan TN sebesar 341.000.000</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dalam DIPA untuk mengadministrasikan hak masyarakat dan bisnis pada unit di SKPD ada tapi dalam bentuk dana untuk membayar hal ulayat masyarakat lokal. Baru tahun 2011 diusulkan dan sesuai dengan ususlan. Tahun 2010 sudah ada tapi tidak terlaksana karena tanah-tanah tersebut harus diklarifikasi terlebih dahulu</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64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BIIc1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Komponen Mekanisme-1: Pembagian tugas &amp; tanggung jawab setiap pihak</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Pembagian tugas dan tanggung jawab setioap pihak dalam kerjasama antar unit  cukup memadai. Semua sesuai dengan tupoksi dan cukup memadai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di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Ada MoU yang dibuat midalnya untuk program Propinsi Konservasi, dimana setiap kepala balai kibin MoU dengan Bupati, seperti di Sorong MoU dengan Bupati Tamro, ada MoU Konservasi yang ditandatangani kepala balai dan bupati.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819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Keputuisan Kepala Balai Besar Taman Nasional Teluk Cendrawasih Nomor SK. 1655/Kpts/IV-14/Tek/2007 Tentang Pembentukan Kelopok kader Konservasi Pulau Yoop menunjuk 16 orang untuk mejadi kader konservasi khusus pulau Yoop. Keputusan  Kepada Balai Taman Nasional Teluk cendrawasih Nomor SK 678/IV-T.39/Um/2006 Tentang Pembentukan Kelompok kader konservasi Desa Isenebuai menunjuk 8 orang sebagai kader konservasi. Dokumen kerjasama untuk kader konservasi baru 2, sementara luas wilayah Taman Nasional sangat </w:t>
            </w:r>
            <w:r w:rsidRPr="00FE2A7E">
              <w:rPr>
                <w:rFonts w:ascii="Times New Roman" w:eastAsia="Times New Roman" w:hAnsi="Times New Roman" w:cs="Times New Roman"/>
                <w:color w:val="000000"/>
                <w:sz w:val="20"/>
                <w:szCs w:val="20"/>
                <w:lang w:eastAsia="id-ID"/>
              </w:rPr>
              <w:lastRenderedPageBreak/>
              <w:t xml:space="preserve">luas. MoU antara Pemkab Telum Wondama dengan Balai besar Taman Nasional Teluk Cendrawasih dan Yayasan WWF Indonesia Nomor 131/52/BUP-TW/II/2012, 252/BBTNTC-2/Tek/2012, 001/SPK/PEMDA-WWF/II/2012 Tentang Optimalisasi Pengelolaan Taman Nasional Teluk Cendrawasih. MoU  antara Taman Nasional Teluk Cendrawasih dan WWF Indonesia Tentang Optimalisasi Pengelolaan Taman nasional Teluk cendrawasih Nomor PKS.222/BBTNTC-1/Um/2011 dan Nomor 12/WWF-Sahul/MKw/M/II/2011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Kurang memadai, kerjasama dengan masyarakat  dalam bentuk binaan-binaan seperti kader konservasi dan pengamanan kawasan, tapi masih kurang karena luas wilayah yang sangat besar dan bahkan paling besar. Jumlah kampung dalam kawasan juga sangat banyak. Kerjasama dengan WWF juga ada untuk pemberdayaan misalnya utk daerah Nabire, Wondama, dan Ransike. RPTN dan penetapan somasi juga dikerjakan bersama WWF</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BIIc2</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Komponen Mekanisme-2: Tahapan pelaksanaan kerjasama</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Tahapan pelaksanaan kerjasama dalam mekanisme kerjasama antar unit sudah cukup memadai terutama 2-3 tahun belakangan karena berupaya konsisten pada tupoksi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53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di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Tahapan pelaksanaan kerjasama dalam mekanisme kerjasama antar unit ada memadai. Ada sosialisasi  tentang kegiatan untuk MoU, lalu dibuat komitmen MoU, baru  disepakati dalam forum sosialisasi dari tingkat masyarakat </w:t>
            </w:r>
            <w:r w:rsidRPr="00FE2A7E">
              <w:rPr>
                <w:rFonts w:ascii="Times New Roman" w:eastAsia="Times New Roman" w:hAnsi="Times New Roman" w:cs="Times New Roman"/>
                <w:color w:val="000000"/>
                <w:sz w:val="20"/>
                <w:szCs w:val="20"/>
                <w:lang w:eastAsia="id-ID"/>
              </w:rPr>
              <w:lastRenderedPageBreak/>
              <w:t>ke atas. Ada spot-spot yang mensukung konservasi.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4</w:t>
            </w:r>
          </w:p>
        </w:tc>
      </w:tr>
      <w:tr w:rsidR="00FE2A7E" w:rsidRPr="00FE2A7E" w:rsidTr="00FE2A7E">
        <w:trPr>
          <w:trHeight w:val="28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Mekanisme dan Tahapan Kerjasama antara Taman nasional dan WWF memadai karena dalam dokumen Arahan Program dan Rencana Keguatan Kerjasama Teknis selama tahun 2011-2013 sangat jelas dicantumkan Program, Outcome, Target, Tujuan&lt; Tahapan Utama, Indikator dan keluaran, Tata Waktu dan penanggung jawabnya.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Memadai, karena apabila yang merencanakan kegiatan dari LSM misalnya,  selalu dipresentasikan dan disesuaikan dengan program Taman Nasional</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153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BIIc3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Komponen Mekanisme-3: Mekanisme pengambilan keputusan</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pengambilan keputus-an dalam kerjasama antara unit?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pengambilan keputusan dalam kerjasama antar unit cukup memadai karena selalu berusaha sesuai dengan tupoksi kecuali kalau yang prinsip-prinsip seperti memberi rekomendasi untuk penggunaan/pemanfaatan hasil hutan, biasanya diserahkan ke kepala dinas</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80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di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Mekanisme pengambilan keputusan dalam kerjasama antar unit memadai. Melalui forum rapat dengan unit, dalam hal ini kabupaten. Misalnya : Suaka Margasatwa,  masing-masing punya rencana pengelolaan setiap kawasan. Semua komponen dilibatkan termasuk masyarakat sampai terbentuk Buku </w:t>
            </w:r>
            <w:r w:rsidRPr="00FE2A7E">
              <w:rPr>
                <w:rFonts w:ascii="Times New Roman" w:eastAsia="Times New Roman" w:hAnsi="Times New Roman" w:cs="Times New Roman"/>
                <w:color w:val="000000"/>
                <w:sz w:val="20"/>
                <w:szCs w:val="20"/>
                <w:lang w:eastAsia="id-ID"/>
              </w:rPr>
              <w:lastRenderedPageBreak/>
              <w:t>Pengelolaan yang sisinya masukan stakeholder. Misalnya : Taman Wisata Gunung Meja, sudah ada Buku Pengelolaan, tapi teknis/operasionalnya tetap ada MoU. Kalau ada pihak ke3 yang mengelola, harus ada ijin dari dirjen (diatur dalam permenhut). Ijin bisa mencapai 30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4</w:t>
            </w:r>
          </w:p>
        </w:tc>
      </w:tr>
      <w:tr w:rsidR="00FE2A7E" w:rsidRPr="00FE2A7E" w:rsidTr="00FE2A7E">
        <w:trPr>
          <w:trHeight w:val="130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Dalam dokumen Arahan Program dan Rencana Kegiatan Kerjasama antara Taman nasional dan WWF hanya disebutkan penganggung jawabnya saja</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memadai, Taman Nasional tetap menjadi pemangku kawasan sehingga semua harus lapor ke Taman Nasional dan mendapat persetujuan.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BIIc4</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Komponen Mekanisme-4: </w:t>
            </w:r>
            <w:r w:rsidRPr="00FE2A7E">
              <w:rPr>
                <w:rFonts w:ascii="Times New Roman" w:eastAsia="Times New Roman" w:hAnsi="Times New Roman" w:cs="Times New Roman"/>
                <w:color w:val="000000"/>
                <w:sz w:val="20"/>
                <w:szCs w:val="20"/>
                <w:lang w:eastAsia="id-ID"/>
              </w:rPr>
              <w:br/>
              <w:t>Tata waktu pelaksanaan kerjasama</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pelaksanaan kerjasama dalam mekanisme kerjasama antara unit?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pelaksanaan kerjasama dalam mekanisme kerjasama antar unit kurang memadai karena SDM yang kurang sehingga target-target sering terlambat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76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Tata waktu pelaksanaan kerjasama dalam mekanisme kerjasama antar unit kurang memadai. Kalau dari sisi perijinan sudah ada jadwalnya, tapi sering lambat.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Jelas dicantumlan dalam dokumen Arahan Program dan Rencana Kegiatan Kerjasama antara Taman Nasional dan WWF</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cukup memadai, seringkali terbentur dengan program Taman nasional sendiri sehingga kadang harus diundur, tapi selalu terlaksana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2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BIIc5</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Komponen Mekanisme-5: Mekanisme pelaporan hasil pelaksanaa</w:t>
            </w:r>
            <w:r w:rsidRPr="00FE2A7E">
              <w:rPr>
                <w:rFonts w:ascii="Times New Roman" w:eastAsia="Times New Roman" w:hAnsi="Times New Roman" w:cs="Times New Roman"/>
                <w:color w:val="000000"/>
                <w:sz w:val="20"/>
                <w:szCs w:val="20"/>
                <w:lang w:eastAsia="id-ID"/>
              </w:rPr>
              <w:lastRenderedPageBreak/>
              <w:t>n kerjasama</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Mekanisme pelaporan hasil pelak-sanaan kerjasama dalam kerjasa-ma antara unit?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pelaporan hasil pelaksanaan kerjasama dalam kerjasama antar unit kurang memadai karena SDM kurang sehingga motivasi kurang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pelaporan hasil pelaksanaan kerjasama dalam kerjasama antar unit memadai, karena pelaporan dilakukan dalam laporan masing-masing. Laporan balai langsung ke dirjen, tembusan ke bupati. Demikian juga mekanisme pelaporan kabupaten.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Kurang memadai karena mekanisme kadang membuat lambat. Misalnya seperti WWF yang harus mengirimkan laporannya dulu ke pusat baru ke Taman Nasional</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9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FE2A7E" w:rsidRPr="00FE2A7E" w:rsidTr="00FE2A7E">
        <w:trPr>
          <w:trHeight w:val="33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BIId1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Kondisi realisasi rencana kebutuhan SDM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rencana kebutuhan SDM sudah terpenuhi?</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dikumen rencana kebutuhan SDM</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punya kualifikasi oada unit yang menangani konflik hak atas hutan 50% sudah terpenuhi.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71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BIId2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Memiliki pendidikan S1 di bidang terkait dengan kehutanan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Kepala Seksi Inventarisasi dan Perpetaan pada Bidang Inventarisasi dan Tata Guna Hutan, Plj Kepala Seksi Monitoring dan Evaluasi Kawasan Pada Bidang Inventarisasi dan Tata Guna Hutan, dan Plj Kepala Seksi Perundang-undangan dan Penyluhan Kehutanan pada Bidang Pengamanan dan Perlindungan Hutan  adalah Sarjana Kehutanan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yang menangani konflik  hak atas hutan memiliki pendidikan S1 kehutanan cukup memadai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BIId3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Memilki sertifikat sebagai mediator dalam penanganan</w:t>
            </w:r>
            <w:r w:rsidRPr="00FE2A7E">
              <w:rPr>
                <w:rFonts w:ascii="Times New Roman" w:eastAsia="Times New Roman" w:hAnsi="Times New Roman" w:cs="Times New Roman"/>
                <w:color w:val="000000"/>
                <w:sz w:val="20"/>
                <w:szCs w:val="20"/>
                <w:lang w:eastAsia="id-ID"/>
              </w:rPr>
              <w:br/>
              <w:t>konflik hak atas hutan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dokumen/sertifikat sebagai mediator</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yang menangani konflik atas hutan  rata-rata belum memiliki sertifikat. Di manokwari belum dilaksanakan , masih bingung apakah seharusnya dilaksanakan sendiri atau tunggu BLK yang melaksanakan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315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BIId4</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Kepala Seksi Inventarisasi dan Perpetaan pada Bidang Inventarisasi dan Tata Guna Hutan bekerja sejak tahun 2005, Plj Kepala Seksi Monitoring dan Evaluasi Kawasan Pada Bidang Inventarisasi dan Tata Guna Hutan bekerja sejak tahun 2006, dan Plj Kepala Seksi Perundang-undangan dan Penyluhan Kehutanan pada Bidang Pengamanan dan Perlindungan Hutan  bekerja sejak tahun 2004</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yang menangani konflik hak atas hutan belum memiliki pengalaman sebagai mediator. Belum ada konflik sehingga pengalaman belum ada. Tahun 2010 ada kerjasama dengan Kemenhut u8ntuk benchmark mediator di Jambi dan kalbar, namun hanya kabid yang dikirim</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0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63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5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BIIe1</w:t>
            </w:r>
          </w:p>
        </w:tc>
        <w:tc>
          <w:tcPr>
            <w:tcW w:w="1169"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dalam DIPA untuk menyele-</w:t>
            </w:r>
            <w:r w:rsidRPr="00FE2A7E">
              <w:rPr>
                <w:rFonts w:ascii="Times New Roman" w:eastAsia="Times New Roman" w:hAnsi="Times New Roman" w:cs="Times New Roman"/>
                <w:color w:val="000000"/>
                <w:sz w:val="20"/>
                <w:szCs w:val="20"/>
                <w:lang w:eastAsia="id-ID"/>
              </w:rPr>
              <w:lastRenderedPageBreak/>
              <w:t xml:space="preserve">saikan konflik di Instansi Kehutanan </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 xml:space="preserve">Bagaimana jumlah dana yang dialokasikan dalam DIPA untuk menyelesaikan konflik di </w:t>
            </w:r>
            <w:r w:rsidRPr="00FE2A7E">
              <w:rPr>
                <w:rFonts w:ascii="Times New Roman" w:eastAsia="Times New Roman" w:hAnsi="Times New Roman" w:cs="Times New Roman"/>
                <w:color w:val="000000"/>
                <w:sz w:val="20"/>
                <w:szCs w:val="20"/>
                <w:lang w:eastAsia="id-ID"/>
              </w:rPr>
              <w:lastRenderedPageBreak/>
              <w:t>Instansi Kehutanan?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Tidak ada dokumen yg menunjukkan adanya dana penyelesaian konflik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dana yang dialokasikan dalam DIPA untuk menyelesaikan konflik karena tidak ada konflik sehingga tidak dianggarkan untuk itu</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04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Tidak ada dokumen yg menunjukkan adanya dana penyelesaian konflik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dalam DIPA dalam menyelesaikan konflik tidak ada. Karena di KSDA, kasus-kasus kawasan misalnya seperti ilegal lodging,  satwa ilegal  dialokasikan, tapi tidak ada usulan untuk kompensasio-kompensasi. Jadi harus riil penggunaannya. Misalnya : ada illegal lodging tahun ini, maka tahun berikutnya diusulkan untuk perbaikan/rehabilitasi.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76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Tidak ada dokumen yg menunjukkan adanya dana penyelesaian konflik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dana yang dialokasikan dalam DIPA untuk menyelesaikan konflik tidak ada secara khusus diusulkan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III. Pengorganisasian Hutan </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70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 Kepala TN, BKSDA, KPH Provinsi/Kabupaten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BIIIa1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53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memiliki kualifikasi teknis dan fisilitasi proses para pihak di unit pengelolaan hutan dan lahan gambut (KPH) kurang memadai. Latar belakang pendidikan yang bukan kehutanan. Di KSDA karena kompleksnya tugas, butuh latar belakang pendidikan yang beragam</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59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Dalam laporan tahunan 2010 dan 2011 terdapat data kepegawaian berikut sebaran PNS nya. Namun tidak disebutkan kualifikasi </w:t>
            </w:r>
            <w:r w:rsidRPr="00FE2A7E">
              <w:rPr>
                <w:rFonts w:ascii="Times New Roman" w:eastAsia="Times New Roman" w:hAnsi="Times New Roman" w:cs="Times New Roman"/>
                <w:color w:val="000000"/>
                <w:sz w:val="20"/>
                <w:szCs w:val="20"/>
                <w:lang w:eastAsia="id-ID"/>
              </w:rPr>
              <w:lastRenderedPageBreak/>
              <w:t>masing-masing dan kebutuhan akan kualifikasi tertentu</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2</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Kurang memadai, karena dengan luas kawasan yang sangat besar jumlah tenaga sangat kurang. Tenaga fungsional yang dibutuhkan lebih banyak anatara lain tenaga penyuluh, polisi hutan dan reaksi cepat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BIIIa2</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Memiliki pendidikan S1 di bidang kehutanan atau terkait</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pengelolaan hutan dan lahan gambut yang memiiliki pendidikan S1 di bidang kehutanan atau terkait kurang memadai. Profesionalitas tidak ditentukan latar belakang, tergantung pengalaman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6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Dalam laporan tahunan 2010 dan 2011 terdapat data kepegawaian berikut sebaran PNS nya. Namun tidak disebutkan kualifikasi masing-masing dan kebutuhan akan kualifikasi tertentu</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SDM yang bertugas pada unit pengelolaan hutan dan lahan gambut (KPh)_ memiliki pendidikan S1 yang relevan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BIIIa3</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Pernah mendapatkan pelatihan menjadi fasilitator </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53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pada unit pengelolaan hutan dan lahan gambut (KPH) mendapatkan pelatihan menjadi fasilitator sangat memadai. Sebelum ditugaskan ada pelatihan, khususnya fungsional seperti  Pengendali Ekosistem Lingkungan dan Polisi Kehutanan 6 hutan. Lalu ada penyegaran biasanya tergantung.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Tidak ada dokumen yang membuktikan keikutsertaan SDM dalam pelatihan </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di unit pengelolaan hutan dan lahan gambut penah mendapatkan pelatihan menjadi fasilitator namun kurang memadai. Pelatihan ada tapi perlu lebih banyak lagi, karena cakupannya luas</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BIIIa</w:t>
            </w:r>
            <w:r w:rsidRPr="00FE2A7E">
              <w:rPr>
                <w:rFonts w:ascii="Times New Roman" w:eastAsia="Times New Roman" w:hAnsi="Times New Roman" w:cs="Times New Roman"/>
                <w:color w:val="000000"/>
                <w:sz w:val="20"/>
                <w:szCs w:val="20"/>
                <w:lang w:eastAsia="id-ID"/>
              </w:rPr>
              <w:lastRenderedPageBreak/>
              <w:t>4</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 xml:space="preserve">Memiliki </w:t>
            </w:r>
            <w:r w:rsidRPr="00FE2A7E">
              <w:rPr>
                <w:rFonts w:ascii="Times New Roman" w:eastAsia="Times New Roman" w:hAnsi="Times New Roman" w:cs="Times New Roman"/>
                <w:color w:val="000000"/>
                <w:sz w:val="20"/>
                <w:szCs w:val="20"/>
                <w:lang w:eastAsia="id-ID"/>
              </w:rPr>
              <w:lastRenderedPageBreak/>
              <w:t>pengalaman memfasi-litasi proses partisipasi para pihak dalam pengelolaan hutan</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 xml:space="preserve">Apakah SDM  </w:t>
            </w:r>
            <w:r w:rsidRPr="00FE2A7E">
              <w:rPr>
                <w:rFonts w:ascii="Times New Roman" w:eastAsia="Times New Roman" w:hAnsi="Times New Roman" w:cs="Times New Roman"/>
                <w:color w:val="000000"/>
                <w:sz w:val="20"/>
                <w:szCs w:val="20"/>
                <w:lang w:eastAsia="id-ID"/>
              </w:rPr>
              <w:lastRenderedPageBreak/>
              <w:t>yang bertugas pada Unit pengelolaan hutan dan lahan gambut (KPH) memiliki pengalam-an memfasilitasi proses partisipasi para pihak dalam pengelolaan hutan?</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KPH</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275"/>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SDM yang bertugas pada unit pengelolaan hutan dan lahan gambut (KPH) memiliki pengalaman memfasilitasi proses partisipasi para pihak dalam pengelolaan hutan cukup memadai rata-rata kurang lebih 2/3 tahun, sehingga masih terhitung baru. </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r>
      <w:tr w:rsidR="00FE2A7E" w:rsidRPr="00FE2A7E" w:rsidTr="00FE2A7E">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tidak ada</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bertugas di unit pengelolaan hutan dan lahan gambut memiliki pengalaman memfasilitasi proses partisipasi para pihak dalam pengelolaan hutan karena rata-rata sudah berpengalaman lebih dari 3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4</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70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 Kepala TN, BKSDA, KPH Provinsi/Kabupaten</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BIIIb1</w:t>
            </w:r>
          </w:p>
        </w:tc>
        <w:tc>
          <w:tcPr>
            <w:tcW w:w="1169"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660" w:type="dxa"/>
            <w:vMerge w:val="restart"/>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tcBorders>
              <w:top w:val="single" w:sz="4" w:space="0" w:color="auto"/>
              <w:left w:val="nil"/>
              <w:bottom w:val="single" w:sz="4" w:space="0" w:color="auto"/>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3315"/>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BKSDA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Dokumen ada di balai Besar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 tidak ada, Dari segi teknis KPH itu berfungsi sebagai :</w:t>
            </w:r>
            <w:r w:rsidRPr="00FE2A7E">
              <w:rPr>
                <w:rFonts w:ascii="Times New Roman" w:eastAsia="Times New Roman" w:hAnsi="Times New Roman" w:cs="Times New Roman"/>
                <w:color w:val="000000"/>
                <w:sz w:val="20"/>
                <w:szCs w:val="20"/>
                <w:lang w:eastAsia="id-ID"/>
              </w:rPr>
              <w:br/>
              <w:t>1. KPHP (Kelompok Pengelola Hutan Produksi), misalnya BPKH</w:t>
            </w:r>
            <w:r w:rsidRPr="00FE2A7E">
              <w:rPr>
                <w:rFonts w:ascii="Times New Roman" w:eastAsia="Times New Roman" w:hAnsi="Times New Roman" w:cs="Times New Roman"/>
                <w:color w:val="000000"/>
                <w:sz w:val="20"/>
                <w:szCs w:val="20"/>
                <w:lang w:eastAsia="id-ID"/>
              </w:rPr>
              <w:br/>
              <w:t>2. KPHL  (Kelompok Pengelola Hutan Lindung), misalnya BPKH dan Dishut</w:t>
            </w:r>
            <w:r w:rsidRPr="00FE2A7E">
              <w:rPr>
                <w:rFonts w:ascii="Times New Roman" w:eastAsia="Times New Roman" w:hAnsi="Times New Roman" w:cs="Times New Roman"/>
                <w:color w:val="000000"/>
                <w:sz w:val="20"/>
                <w:szCs w:val="20"/>
                <w:lang w:eastAsia="id-ID"/>
              </w:rPr>
              <w:br/>
              <w:t>3. KPHK (Kelompok Pengelola Hutan Konservasi), misalnya Taman Nasional</w:t>
            </w:r>
            <w:r w:rsidRPr="00FE2A7E">
              <w:rPr>
                <w:rFonts w:ascii="Times New Roman" w:eastAsia="Times New Roman" w:hAnsi="Times New Roman" w:cs="Times New Roman"/>
                <w:color w:val="000000"/>
                <w:sz w:val="20"/>
                <w:szCs w:val="20"/>
                <w:lang w:eastAsia="id-ID"/>
              </w:rPr>
              <w:br/>
              <w:t>Fungsi dan bentuknya tergantung wilayah sehingga sebetulnya tidak ada alokasi dana khusus.</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513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Tahun 2010, DIPA untuk Pengembangan Jasa Lingkungan dan Wisata Alam sebesar 1.288.000.000. Pada 2011pengelolaan hutan bersama masyarakat berbentuk Pengambangan dan Pemanfaatan Wisata Alam sebesar 72.356.000, Model Desa Konservasi 107.736.000, dan kader Konservasi dan Kelompok Pecinta Alam sebesar 353.445.000. Pada 2012Pengembangan dan Pemanfaatan Jasa Lingkungan sebesar 121.475.000, Pengambangan dan Pemanfataan Wisata Alam sebesar 923.380.000, dan Pembinaan kader konservasi dan kelompok Pecinta Alam sebesar 511.510.000</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oleh unit pengelolaan hutan dan lahan gambut untuk melakukan pengelolaan kawasan hutan bersama masyarakat sama dengan yang di usulkan. Usulan tersebut terkait dengan : Pengembangan wisata, Kader konservasi, Rumpon, In Force Training, dan Mitra Polisi Hutan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3543"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1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789"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a. Jumlah luas kawasan hutan yang dialokasikan untuk masyarakat(?)</w:t>
            </w: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70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BIVa1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luas kawasan hutan yang dialokasikan untuk masyarakat</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Berapa jumlah luas kawasan hutan yang dialokasikan untuk masyara-kat?</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 alokasi hutan untuk masyarakat, tapi ada dokumen perkembangan pengukuhan kawasan hutan di kabupaten Raja Ampat, Sorong, Tambrauw, Sorong Selatan, Maybrat, Manokwari, Teluk Bintuni,Teluk Wondama, Fakfak, dan Kaimana yang menunjukkan luasnya kawasan Suaka dan Hutan Lindung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kawasan yang dialokasikan untuk masyarakat ada 16.0000 ribu Ha dari 9,8 juta Ha sedang diajukan untuk hutan desa. 5 juta hutan produksi, 1,8 juta untuk kota dan 3,2  untuk HPH. Yang sudah terjadi faktanya sangat kecil. Biasanya masyarakat dapat dari HPH sebagai kompensasi ulayat. Secara aturan tidak ada yang memberi hak kepada rakyat, kecuali otonomi khusus, tapi sedang diusulkan.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4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425"/>
        </w:trPr>
        <w:tc>
          <w:tcPr>
            <w:tcW w:w="714" w:type="dxa"/>
            <w:tcBorders>
              <w:top w:val="nil"/>
              <w:left w:val="single" w:sz="4" w:space="0" w:color="auto"/>
              <w:bottom w:val="single" w:sz="4" w:space="0" w:color="auto"/>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BIVb1</w:t>
            </w:r>
          </w:p>
        </w:tc>
        <w:tc>
          <w:tcPr>
            <w:tcW w:w="1169" w:type="dxa"/>
            <w:tcBorders>
              <w:top w:val="nil"/>
              <w:left w:val="single" w:sz="4" w:space="0" w:color="auto"/>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660" w:type="dxa"/>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Dalam Ususlam penetapan KPH Gubernur no. 522/182/GPB/2009 sdh diusulkan 21 KPH, namun yang baru terbentuk adalah di Sorong.</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unit pengelola Hutan (KPHP/KPHL) yang telah dibentuk dan operasional di Propinsi hanya ada 1 dan belum memadai di Sorong. Lembaganya masih jadi masalah siapa yang akan memegang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FE2A7E" w:rsidRPr="00FE2A7E" w:rsidTr="00FE2A7E">
        <w:trPr>
          <w:trHeight w:val="63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357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BIVc1</w:t>
            </w:r>
          </w:p>
        </w:tc>
        <w:tc>
          <w:tcPr>
            <w:tcW w:w="116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saja dasar pertimbangan yang digunakan dalam pemberian izin</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Kehutanan</w:t>
            </w:r>
          </w:p>
        </w:tc>
        <w:tc>
          <w:tcPr>
            <w:tcW w:w="1519"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dasar pertimbangan sangat sesuai dengan mekanisme izin sebagai pengendali dan penataan hutan. Dasar pertimbanbgan yang digunakan dalam pemberian ijin sangat sesuai dengan mekanisme izin sebagai pengendali dan penataan hutan. Dasar pertimbangannya :</w:t>
            </w:r>
            <w:r w:rsidRPr="00FE2A7E">
              <w:rPr>
                <w:rFonts w:ascii="Times New Roman" w:eastAsia="Times New Roman" w:hAnsi="Times New Roman" w:cs="Times New Roman"/>
                <w:color w:val="000000"/>
                <w:sz w:val="20"/>
                <w:szCs w:val="20"/>
                <w:lang w:eastAsia="id-ID"/>
              </w:rPr>
              <w:br/>
              <w:t>1. Permohonan</w:t>
            </w:r>
            <w:r w:rsidRPr="00FE2A7E">
              <w:rPr>
                <w:rFonts w:ascii="Times New Roman" w:eastAsia="Times New Roman" w:hAnsi="Times New Roman" w:cs="Times New Roman"/>
                <w:color w:val="000000"/>
                <w:sz w:val="20"/>
                <w:szCs w:val="20"/>
                <w:lang w:eastAsia="id-ID"/>
              </w:rPr>
              <w:br/>
              <w:t>2. Persetujuan masyarakat</w:t>
            </w:r>
            <w:r w:rsidRPr="00FE2A7E">
              <w:rPr>
                <w:rFonts w:ascii="Times New Roman" w:eastAsia="Times New Roman" w:hAnsi="Times New Roman" w:cs="Times New Roman"/>
                <w:color w:val="000000"/>
                <w:sz w:val="20"/>
                <w:szCs w:val="20"/>
                <w:lang w:eastAsia="id-ID"/>
              </w:rPr>
              <w:br/>
              <w:t>3. Rekomendasi Kabupaten</w:t>
            </w:r>
            <w:r w:rsidRPr="00FE2A7E">
              <w:rPr>
                <w:rFonts w:ascii="Times New Roman" w:eastAsia="Times New Roman" w:hAnsi="Times New Roman" w:cs="Times New Roman"/>
                <w:color w:val="000000"/>
                <w:sz w:val="20"/>
                <w:szCs w:val="20"/>
                <w:lang w:eastAsia="id-ID"/>
              </w:rPr>
              <w:br/>
              <w:t>4. Pengecekan administrasi dan lapangan</w:t>
            </w:r>
            <w:r w:rsidRPr="00FE2A7E">
              <w:rPr>
                <w:rFonts w:ascii="Times New Roman" w:eastAsia="Times New Roman" w:hAnsi="Times New Roman" w:cs="Times New Roman"/>
                <w:color w:val="000000"/>
                <w:sz w:val="20"/>
                <w:szCs w:val="20"/>
                <w:lang w:eastAsia="id-ID"/>
              </w:rPr>
              <w:br/>
              <w:t>5. Perkembangan teknis untuk rekomendasi kepada gubernur</w:t>
            </w:r>
            <w:r w:rsidRPr="00FE2A7E">
              <w:rPr>
                <w:rFonts w:ascii="Times New Roman" w:eastAsia="Times New Roman" w:hAnsi="Times New Roman" w:cs="Times New Roman"/>
                <w:color w:val="000000"/>
                <w:sz w:val="20"/>
                <w:szCs w:val="20"/>
                <w:lang w:eastAsia="id-ID"/>
              </w:rPr>
              <w:br/>
              <w:t>6. Gubernur merekomendasikan ke menteri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V. Pengendalian dan Penegakan Hukum  </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Pimpinan KPH Provinsi/Kabupaten </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BVa1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Kinerja KPH dalam penerapan sistem pengendalian internal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BVa2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KPH</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b. Jumlah polisi yang memadai dan memiliki kualifikasi memadai di bidang </w:t>
            </w:r>
            <w:r w:rsidRPr="00FE2A7E">
              <w:rPr>
                <w:rFonts w:ascii="Times New Roman" w:eastAsia="Times New Roman" w:hAnsi="Times New Roman" w:cs="Times New Roman"/>
                <w:b/>
                <w:bCs/>
                <w:color w:val="000000"/>
                <w:sz w:val="20"/>
                <w:szCs w:val="20"/>
                <w:lang w:eastAsia="id-ID"/>
              </w:rPr>
              <w:lastRenderedPageBreak/>
              <w:t>kehutanan dan lingkungan</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lastRenderedPageBreak/>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Bagian kepegawaian Polda/Polres/Polresta</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BVb1</w:t>
            </w: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660" w:type="dxa"/>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39" w:type="dxa"/>
            <w:tcBorders>
              <w:top w:val="nil"/>
              <w:left w:val="nil"/>
              <w:bottom w:val="single" w:sz="4" w:space="0" w:color="auto"/>
              <w:right w:val="single" w:sz="4" w:space="0" w:color="auto"/>
            </w:tcBorders>
            <w:shd w:val="clear" w:color="000000" w:fill="F2DDDC"/>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Polres</w:t>
            </w:r>
          </w:p>
        </w:tc>
        <w:tc>
          <w:tcPr>
            <w:tcW w:w="630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BVb2</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Sertifikat/Bukti Keikutsertaan pelatihan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39" w:type="dxa"/>
            <w:tcBorders>
              <w:top w:val="nil"/>
              <w:left w:val="nil"/>
              <w:bottom w:val="single" w:sz="4" w:space="0" w:color="auto"/>
              <w:right w:val="single" w:sz="4" w:space="0" w:color="auto"/>
            </w:tcBorders>
            <w:shd w:val="clear" w:color="000000" w:fill="F2DDDC"/>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Polres</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BVb3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Pengalaman kerja dalam bidang yang terkait pidana kehutanan dan lingkungan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39" w:type="dxa"/>
            <w:tcBorders>
              <w:top w:val="nil"/>
              <w:left w:val="nil"/>
              <w:bottom w:val="single" w:sz="4" w:space="0" w:color="auto"/>
              <w:right w:val="single" w:sz="4" w:space="0" w:color="auto"/>
            </w:tcBorders>
            <w:shd w:val="clear" w:color="000000" w:fill="F2DDDC"/>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Polres</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Bagian kepegawaian Kejati/Kejari</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BVc1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Kejari</w:t>
            </w:r>
          </w:p>
        </w:tc>
        <w:tc>
          <w:tcPr>
            <w:tcW w:w="630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BVc2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Sertifikat/Bukti Keikutsertaan pelatihan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Apakah jaksa yang bertugas dalam penegakan hukum bidang kehutanan dan lingkungan hidup memiliki Sertifikat atau Bukti Keikutsertaan </w:t>
            </w:r>
            <w:r w:rsidRPr="00FE2A7E">
              <w:rPr>
                <w:rFonts w:ascii="Times New Roman" w:eastAsia="Times New Roman" w:hAnsi="Times New Roman" w:cs="Times New Roman"/>
                <w:color w:val="000000"/>
                <w:sz w:val="20"/>
                <w:szCs w:val="20"/>
                <w:lang w:eastAsia="id-ID"/>
              </w:rPr>
              <w:lastRenderedPageBreak/>
              <w:t>pelatihan?</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Kejari</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BVc3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Pengalaman kerja dalam bidang yang terkait pidana kehutanan dan lingkungan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Kejari</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789"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Bagian kepegawaian Pengadilan Tinggi/Pengadilan Negeri</w:t>
            </w: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BVd1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Pengadilan Negeri</w:t>
            </w:r>
          </w:p>
        </w:tc>
        <w:tc>
          <w:tcPr>
            <w:tcW w:w="630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BVd2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Sertifikat/Bukti Keikutsertaan pelatihan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Pengadilan Negeri</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BVd3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Pengalaman kerja dalam bidang yang terkait pidana kehutanan dan lingkungan</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Pengadilan Negeri</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34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24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Unit reskrim Polda, Unit reskrim Polres/Polresta</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78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BVe1</w:t>
            </w:r>
          </w:p>
        </w:tc>
        <w:tc>
          <w:tcPr>
            <w:tcW w:w="1169"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660" w:type="dxa"/>
            <w:vMerge w:val="restart"/>
            <w:tcBorders>
              <w:top w:val="nil"/>
              <w:left w:val="single" w:sz="4" w:space="0" w:color="auto"/>
              <w:bottom w:val="single" w:sz="4" w:space="0" w:color="000000"/>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Kejari</w:t>
            </w:r>
          </w:p>
        </w:tc>
        <w:tc>
          <w:tcPr>
            <w:tcW w:w="630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w:t>
            </w:r>
          </w:p>
        </w:tc>
      </w:tr>
      <w:tr w:rsidR="00FE2A7E" w:rsidRPr="00FE2A7E" w:rsidTr="00FE2A7E">
        <w:trPr>
          <w:trHeight w:val="78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Polres</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1140"/>
        </w:trPr>
        <w:tc>
          <w:tcPr>
            <w:tcW w:w="714" w:type="dxa"/>
            <w:vMerge/>
            <w:tcBorders>
              <w:top w:val="nil"/>
              <w:left w:val="single" w:sz="4" w:space="0" w:color="auto"/>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vMerge/>
            <w:tcBorders>
              <w:top w:val="nil"/>
              <w:left w:val="single" w:sz="4" w:space="0" w:color="auto"/>
              <w:bottom w:val="single" w:sz="4" w:space="0" w:color="000000"/>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single" w:sz="4" w:space="0" w:color="auto"/>
              <w:right w:val="single" w:sz="4" w:space="0" w:color="auto"/>
            </w:tcBorders>
            <w:shd w:val="clear" w:color="000000" w:fill="F2DDDC"/>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Pengadilan Negeri</w:t>
            </w:r>
          </w:p>
        </w:tc>
        <w:tc>
          <w:tcPr>
            <w:tcW w:w="6303" w:type="dxa"/>
            <w:gridSpan w:val="4"/>
            <w:vMerge/>
            <w:tcBorders>
              <w:top w:val="nil"/>
              <w:left w:val="nil"/>
              <w:bottom w:val="single" w:sz="4" w:space="0" w:color="auto"/>
              <w:right w:val="single" w:sz="4" w:space="0" w:color="auto"/>
            </w:tcBorders>
            <w:vAlign w:val="center"/>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Isu dalam PGA REDD+</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VI. Infrastruktur REDD+</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a.  Keberadaan lembaga REDD+ di Nasional dan Sub nasional</w:t>
            </w: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Nasional: UKP4 (Satgas REDD+)</w:t>
            </w:r>
            <w:r w:rsidRPr="00FE2A7E">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243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BVIa1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Ada atau tidak adanya lembaga REDD+ di Nasional dan Sub 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terdapat lembaga REDD+ di Nasional dan Sub nasional?</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Sudah ada satuan tugas REDD+ yang dibentuk berdasarkan SK Gubernur Papua Barat No. 552.3/42/III/2011 tahun 2011 tentang Pembentukan Satuan Tugas Pembangunan Ekonomi Daerah Rendah Karbon di Propinsi Papua Barat. </w:t>
            </w:r>
          </w:p>
        </w:tc>
        <w:tc>
          <w:tcPr>
            <w:tcW w:w="1231"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Lembaga REDD+ di sub nasional/propinsio sudah ada tapi keberadaannya kurang memadai. Baru ada SK asaja. Capacity Building baru ada di tingkat nasional. Di tingkat propinsi bentuknya masih ad hoc, baru satuan tugas, perlu sebuah badan khusus yang menangani ini. Dalam stranas pernah dibicarakan adanya lebaga resmi/kantor daerah di tingkat sub nasional</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295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BVIa2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dukungan peraturan ter-hadap lembaga REDD+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keberadaan lembaga REDD+ sudah memadai, karena dalam SK Gubernur tentang Satuan Tugas Pembangunan Ekonomi Daerah menyebutjan tugas-tugas Satgas ini antara lain untu melakukan sosialisasi tentang REDD, mengkoordinasi</w:t>
            </w:r>
            <w:r w:rsidRPr="00FE2A7E">
              <w:rPr>
                <w:rFonts w:ascii="Times New Roman" w:eastAsia="Times New Roman" w:hAnsi="Times New Roman" w:cs="Times New Roman"/>
                <w:color w:val="000000"/>
                <w:sz w:val="20"/>
                <w:szCs w:val="20"/>
                <w:lang w:eastAsia="id-ID"/>
              </w:rPr>
              <w:lastRenderedPageBreak/>
              <w:t>kan aturan-aturan REDD sampai dengan fasilitasu kepastian hukum untuk FPIC</w:t>
            </w:r>
          </w:p>
        </w:tc>
        <w:tc>
          <w:tcPr>
            <w:tcW w:w="1231"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Dukungan peraturan terhadap keberadaan lembaga REDD+  tidak memadai karena baru ada di nasional saja.  Ada masalah kewenangan. Di satu sisi ada kewenangan yang diberi kementrian lembaga (bappenas, UKP-PPP, REDD+ Nasional) padahal ini masalah lintas sektoral, sehingga terkesan dimonopoli. Di daerah diharapkan jangan sampai terjadi demikian, harus simultan. Namun di daerah terlihat tidak serius  untuk menjadi perhatian daerah.  </w:t>
            </w:r>
            <w:r w:rsidRPr="00FE2A7E">
              <w:rPr>
                <w:rFonts w:ascii="Times New Roman" w:eastAsia="Times New Roman" w:hAnsi="Times New Roman" w:cs="Times New Roman"/>
                <w:color w:val="000000"/>
                <w:sz w:val="20"/>
                <w:szCs w:val="20"/>
                <w:lang w:eastAsia="id-ID"/>
              </w:rPr>
              <w:lastRenderedPageBreak/>
              <w:t>Banyak yang masih bingung tentang hal ini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lastRenderedPageBreak/>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FE2A7E" w:rsidRPr="00FE2A7E" w:rsidTr="00FE2A7E">
        <w:trPr>
          <w:trHeight w:val="58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Nasional: UKP4 (Satgas REDD+)</w:t>
            </w:r>
            <w:r w:rsidRPr="00FE2A7E">
              <w:rPr>
                <w:rFonts w:ascii="Times New Roman" w:eastAsia="Times New Roman" w:hAnsi="Times New Roman" w:cs="Times New Roman"/>
                <w:b/>
                <w:bCs/>
                <w:color w:val="000000"/>
                <w:sz w:val="20"/>
                <w:szCs w:val="20"/>
                <w:lang w:eastAsia="id-ID"/>
              </w:rPr>
              <w:br/>
              <w:t xml:space="preserve">  Sub nasional: Dinas Kehutanan dan Lingkungan Hidup</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BVIb1</w:t>
            </w: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Ada atau tidak adanya lembaga MRV di Nasional dan Sub nasional</w:t>
            </w:r>
          </w:p>
        </w:tc>
        <w:tc>
          <w:tcPr>
            <w:tcW w:w="1660" w:type="dxa"/>
            <w:tcBorders>
              <w:top w:val="nil"/>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terdapat lembaga MRV di Nasional dan Sub nasional?</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lembaga MRV khusus</w:t>
            </w:r>
          </w:p>
        </w:tc>
        <w:tc>
          <w:tcPr>
            <w:tcW w:w="1231"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lembaga MRV</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68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BVIb2</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dukungan peraturan ter-hadap lembaga MRV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Menurut SK Gubernur tentang no 522.3/42/III/2011 tahun 2011 tentang Satuan Tugas Pembangunan Ekonomi Rendah Karbon di Propinsi Papua Barat, salah satu tugas satgas adalah melakukan monitoring, review, dan verifikasi (MRV) tentang karbon untuk menilai keberhasilan pembangunan ekonomi rendah karbon di Propinsi Papua Barat (k)</w:t>
            </w:r>
          </w:p>
        </w:tc>
        <w:tc>
          <w:tcPr>
            <w:tcW w:w="1231"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3</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lembaga MRV</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3789" w:type="dxa"/>
            <w:gridSpan w:val="3"/>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c. Keberadaan lembaga finansial di Nasional dan Sub nasional</w:t>
            </w: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Nasional: UKP4 (Satgas REDD+)</w:t>
            </w:r>
            <w:r w:rsidRPr="00FE2A7E">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lastRenderedPageBreak/>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748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BVIc1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Ada atau tidak adanya lembaga finansial di tingkat Nasional dan Sub 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terdapat lembaga finansial di tingkat Nasional dan Sub nasional?</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lembaga finansial</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Lembaga finansial sampai saat ini secara nasional belum jelas. Di daerah seperti di papuya ada pemikiran adanya Trust Fund. Sebelumnya tahun 1998, ada lokakarya keanekaragaman hayati yang memunculkan Papua Consevation Fund. Fund Raising dari CI, BPLNG, ICCO, dan dananya diberikan kepada LSM. Dari 2004-2008  sekitar 10-12 LSM, 7 individu disupport untuk upaya konservasi melalui dana ini. Ada kendala ketika beberapa lembaga yang ditemui mempertanyakan soal otonomi khusus yang di dalamnya terkait sustainable development dan konservasi, sehingga ada tantangan untuk meyakinkan calon-calon donor ini untuk memberi dananya. </w:t>
            </w:r>
            <w:r w:rsidRPr="00FE2A7E">
              <w:rPr>
                <w:rFonts w:ascii="Times New Roman" w:eastAsia="Times New Roman" w:hAnsi="Times New Roman" w:cs="Times New Roman"/>
                <w:color w:val="000000"/>
                <w:sz w:val="20"/>
                <w:szCs w:val="20"/>
                <w:lang w:eastAsia="id-ID"/>
              </w:rPr>
              <w:br/>
              <w:t>Model Trust Fund ini bisa jadi diharapkan jadi lembaga finansial .  Tahun 2000 melalui IMF difasilitasi lokakarya untuk revitalisasi Trust Fuind di Jayapura dengan mengundang Kehati, WWF, dan lain-lain.  Hasilnya semua sepakat menghidupkan kembali Trust Fund. Dibentuk Ad Hoc  untuk menggarap kembali dokumen2, membentuk struktur, dan berdirilah lembaga PAPUA CONSERVATION AND DEVELOPMENT FUND. Lembaga ini memilik badan pengawasa dan pelaksana, dan tanggal 30 Agustus 2012 ini akan dilaunchi9ng di Jakarta.  Lembaga ini akan menggawangi mekanisme insentif ini, sehingga kalau ada donor lewat lembaga ini tidak lagi melewati pemerintah, termasuk mekanisme Carbon trade baik yang pasar wajib maupun pasar sukarela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361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BVIc2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dukungan peraturan ter-hadap lembaga finansial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Menurut SK Gubernur tentang no 522.3/42/III/2011 tahun 2011 tentang Satuan Tugas Pembangunan Ekonomi Rendah Karbon di Propinsi Papua Barat, salah satu tugas satgas adalah merancang suatu strategi bagi investor swasta dalam rangka pencapaian komitmen Propinsi papua Barat di Copenhagen dan memfasilitasi pembentukan suatu badan usaha untuk mewujudkan investasi ramah lingkungan dalam rangka pembangunan ekonomi</w:t>
            </w:r>
          </w:p>
        </w:tc>
        <w:tc>
          <w:tcPr>
            <w:tcW w:w="1231" w:type="dxa"/>
            <w:tcBorders>
              <w:top w:val="nil"/>
              <w:left w:val="nil"/>
              <w:bottom w:val="single" w:sz="4" w:space="0" w:color="auto"/>
              <w:right w:val="single" w:sz="4" w:space="0" w:color="auto"/>
            </w:tcBorders>
            <w:shd w:val="clear" w:color="000000" w:fill="FFFF00"/>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lembaga finansial tidak ada, Masih euphoria dan tidak berpikir normatif. Padahal ada desentralisasi seharusmya lahir inisiatif-inisiatif dari daerah, bukan hanya menunggu dari pemerintah pusat</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Ketua Satgas REDD+/Pokja REDD+</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nil"/>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BVId1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memiliki kualifikasi dalam tata kelola bidang kehutanan dan lingkungan hidup kurang memadai. Kalau untuk memenuhi kualifikasi jumlah  mungkin memadai. Tapi dari segi kompetensi yang dibuthkan kurang</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2</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BVId2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SDM yang memiliki sertifikat tidak ada. Dalam struktur pemerintahan, birokrasi sangat mobile, sehingga yang paling mungkin adalah melibatkan dari perguruan tinggi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BVId3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Pengalaman kerja dalam tata kelola bidang kehutanan dan lingkungan hidup kalau dari segi masa kerja sangat memadai karena rata-rata sudah lebih dari 3 tahun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5</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5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FE2A7E">
              <w:rPr>
                <w:rFonts w:ascii="Times New Roman" w:eastAsia="Times New Roman" w:hAnsi="Times New Roman" w:cs="Times New Roman"/>
                <w:b/>
                <w:bCs/>
                <w:color w:val="000000"/>
                <w:sz w:val="20"/>
                <w:szCs w:val="20"/>
                <w:lang w:eastAsia="id-ID"/>
              </w:rPr>
              <w:br/>
              <w:t xml:space="preserve"> (Strategi, monitoring, lembaga)</w:t>
            </w:r>
          </w:p>
        </w:tc>
      </w:tr>
      <w:tr w:rsidR="00FE2A7E" w:rsidRPr="00FE2A7E" w:rsidTr="00FE2A7E">
        <w:trPr>
          <w:trHeight w:val="36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Nasional: Ketua Satgas REDD+</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BVIe1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dana yang dialokasikan untuk pengembangan infrastruktur  REDD+. Yang ada hanya sosialiasi lewat dinas kehutanan. Sosialisasi sudah dilakukan di Teluk Wondama, Teluk Bintuni dan Kaimana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45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5960" w:type="dxa"/>
            <w:gridSpan w:val="4"/>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70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single" w:sz="4" w:space="0" w:color="auto"/>
              <w:right w:val="nil"/>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:Nasional: UKP4 (Satgas REDD+)</w:t>
            </w:r>
            <w:r w:rsidRPr="00FE2A7E">
              <w:rPr>
                <w:rFonts w:ascii="Times New Roman" w:eastAsia="Times New Roman" w:hAnsi="Times New Roman" w:cs="Times New Roman"/>
                <w:b/>
                <w:bCs/>
                <w:color w:val="000000"/>
                <w:sz w:val="20"/>
                <w:szCs w:val="20"/>
                <w:lang w:eastAsia="id-ID"/>
              </w:rPr>
              <w:br/>
              <w:t xml:space="preserve">  Sub nasional: Dinas Kehutanan dan Lingkungan Hidup</w:t>
            </w: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nil"/>
              <w:left w:val="nil"/>
              <w:bottom w:val="nil"/>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BVIf1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Ada atau tidak adanya kerangka pengaman di tingkat Nasional dan Sub 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terdapat kerangka pengaman di tingkat Nasional dan Sub nasional?</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kerangka pengaman. Satgas tidak tahu harus berpedoman pada apa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BVIf2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dukungan peraturan ter-hadap kerangka pengaman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Dukungan peraturan terhadap kerangka pengaman tidak ada sama sekali, bahkan tidak ada bechmarknya.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255"/>
        </w:trPr>
        <w:tc>
          <w:tcPr>
            <w:tcW w:w="714"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16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660"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03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519"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c>
          <w:tcPr>
            <w:tcW w:w="2171" w:type="dxa"/>
            <w:tcBorders>
              <w:top w:val="nil"/>
              <w:left w:val="nil"/>
              <w:bottom w:val="nil"/>
              <w:right w:val="nil"/>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p>
        </w:tc>
      </w:tr>
      <w:tr w:rsidR="00FE2A7E" w:rsidRPr="00FE2A7E" w:rsidTr="00FE2A7E">
        <w:trPr>
          <w:trHeight w:val="690"/>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Indikator</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7342" w:type="dxa"/>
            <w:gridSpan w:val="5"/>
            <w:tcBorders>
              <w:top w:val="nil"/>
              <w:left w:val="nil"/>
              <w:bottom w:val="nil"/>
              <w:right w:val="nil"/>
            </w:tcBorders>
            <w:shd w:val="clear" w:color="auto" w:fill="auto"/>
            <w:hideMark/>
          </w:tcPr>
          <w:p w:rsidR="00FE2A7E" w:rsidRPr="00FE2A7E" w:rsidRDefault="00FE2A7E" w:rsidP="00FE2A7E">
            <w:pPr>
              <w:spacing w:after="24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FE2A7E">
              <w:rPr>
                <w:rFonts w:ascii="Times New Roman" w:eastAsia="Times New Roman" w:hAnsi="Times New Roman" w:cs="Times New Roman"/>
                <w:b/>
                <w:bCs/>
                <w:color w:val="000000"/>
                <w:sz w:val="20"/>
                <w:szCs w:val="20"/>
                <w:lang w:eastAsia="id-ID"/>
              </w:rPr>
              <w:br/>
              <w:t xml:space="preserve">  akibat pembagian hasil REDD+</w:t>
            </w:r>
          </w:p>
        </w:tc>
      </w:tr>
      <w:tr w:rsidR="00FE2A7E" w:rsidRPr="00FE2A7E" w:rsidTr="00FE2A7E">
        <w:trPr>
          <w:trHeight w:val="255"/>
        </w:trPr>
        <w:tc>
          <w:tcPr>
            <w:tcW w:w="1883"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Wawancara - Sumber informasi</w:t>
            </w:r>
          </w:p>
        </w:tc>
        <w:tc>
          <w:tcPr>
            <w:tcW w:w="1660"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558" w:type="dxa"/>
            <w:gridSpan w:val="2"/>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 Ketua Satgas REDD+/Pokja REDD+</w:t>
            </w:r>
          </w:p>
        </w:tc>
        <w:tc>
          <w:tcPr>
            <w:tcW w:w="123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2171" w:type="dxa"/>
            <w:tcBorders>
              <w:top w:val="nil"/>
              <w:left w:val="nil"/>
              <w:bottom w:val="nil"/>
              <w:right w:val="nil"/>
            </w:tcBorders>
            <w:shd w:val="clear" w:color="auto" w:fill="auto"/>
            <w:noWrap/>
            <w:hideMark/>
          </w:tcPr>
          <w:p w:rsidR="00FE2A7E" w:rsidRPr="00FE2A7E" w:rsidRDefault="00FE2A7E" w:rsidP="00FE2A7E">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p>
        </w:tc>
      </w:tr>
      <w:tr w:rsidR="00FE2A7E" w:rsidRPr="00FE2A7E" w:rsidTr="00FE2A7E">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Kode</w:t>
            </w:r>
          </w:p>
        </w:tc>
        <w:tc>
          <w:tcPr>
            <w:tcW w:w="116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Panduan Analisis Dokumen</w:t>
            </w:r>
          </w:p>
        </w:tc>
        <w:tc>
          <w:tcPr>
            <w:tcW w:w="1660"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Pertanyaan Wawancara</w:t>
            </w:r>
          </w:p>
        </w:tc>
        <w:tc>
          <w:tcPr>
            <w:tcW w:w="103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Sumber Data</w:t>
            </w:r>
          </w:p>
        </w:tc>
        <w:tc>
          <w:tcPr>
            <w:tcW w:w="1519"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Dokumen</w:t>
            </w:r>
          </w:p>
        </w:tc>
        <w:tc>
          <w:tcPr>
            <w:tcW w:w="2171" w:type="dxa"/>
            <w:tcBorders>
              <w:top w:val="single" w:sz="4" w:space="0" w:color="auto"/>
              <w:left w:val="nil"/>
              <w:bottom w:val="nil"/>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b/>
                <w:bCs/>
                <w:color w:val="000000"/>
                <w:sz w:val="20"/>
                <w:szCs w:val="20"/>
                <w:lang w:eastAsia="id-ID"/>
              </w:rPr>
            </w:pPr>
            <w:r w:rsidRPr="00FE2A7E">
              <w:rPr>
                <w:rFonts w:ascii="Times New Roman" w:eastAsia="Times New Roman" w:hAnsi="Times New Roman" w:cs="Times New Roman"/>
                <w:b/>
                <w:bCs/>
                <w:color w:val="000000"/>
                <w:sz w:val="20"/>
                <w:szCs w:val="20"/>
                <w:lang w:eastAsia="id-ID"/>
              </w:rPr>
              <w:t>Kategori Data Wawancara</w:t>
            </w:r>
          </w:p>
        </w:tc>
      </w:tr>
      <w:tr w:rsidR="00FE2A7E" w:rsidRPr="00FE2A7E" w:rsidTr="00FE2A7E">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BVIg1</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single" w:sz="4" w:space="0" w:color="auto"/>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Jumlah SDM yang memadai dan memiliki kualifikasi dalam mediasi konflik belum ada, karena bentuknya Satgas dan bukan Komda. Ini kelemahan pemerintah yang tidak ada proses yang baik. Misalnya untuk Social Operation, selalu pendekatannya ekonomi</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BVIg2</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Sertifikat/Bukti Keikutsertaan pelatihan mediasi konflik pembagian hasil REDD+</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Belum ada yang bersertifikat  pelatihan mediasi konflik pembagian hasil REDD+ karena satgasnya belum jalan juga</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r w:rsidR="00FE2A7E" w:rsidRPr="00FE2A7E" w:rsidTr="00FE2A7E">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BVIg3</w:t>
            </w:r>
          </w:p>
        </w:tc>
        <w:tc>
          <w:tcPr>
            <w:tcW w:w="116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 xml:space="preserve">Pengalaman kerja dalam medi-asi konflik pembagian hasil REDD+ </w:t>
            </w:r>
          </w:p>
        </w:tc>
        <w:tc>
          <w:tcPr>
            <w:tcW w:w="1660"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39"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Satgas REDD+</w:t>
            </w:r>
          </w:p>
        </w:tc>
        <w:tc>
          <w:tcPr>
            <w:tcW w:w="1519"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c>
          <w:tcPr>
            <w:tcW w:w="2171" w:type="dxa"/>
            <w:tcBorders>
              <w:top w:val="nil"/>
              <w:left w:val="nil"/>
              <w:bottom w:val="single" w:sz="4" w:space="0" w:color="auto"/>
              <w:right w:val="single" w:sz="4" w:space="0" w:color="auto"/>
            </w:tcBorders>
            <w:shd w:val="clear" w:color="auto" w:fill="auto"/>
            <w:hideMark/>
          </w:tcPr>
          <w:p w:rsidR="00FE2A7E" w:rsidRPr="00FE2A7E" w:rsidRDefault="00FE2A7E" w:rsidP="00FE2A7E">
            <w:pPr>
              <w:spacing w:after="0" w:line="240" w:lineRule="auto"/>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Pengalaman  kerja dalam mediasi konflik pembagian hasil REDD+ tidak memadai, karena REDD+  belum jalan</w:t>
            </w:r>
          </w:p>
        </w:tc>
        <w:tc>
          <w:tcPr>
            <w:tcW w:w="1382" w:type="dxa"/>
            <w:tcBorders>
              <w:top w:val="nil"/>
              <w:left w:val="nil"/>
              <w:bottom w:val="single" w:sz="4" w:space="0" w:color="auto"/>
              <w:right w:val="single" w:sz="4" w:space="0" w:color="auto"/>
            </w:tcBorders>
            <w:shd w:val="clear" w:color="auto" w:fill="auto"/>
            <w:noWrap/>
            <w:hideMark/>
          </w:tcPr>
          <w:p w:rsidR="00FE2A7E" w:rsidRPr="00FE2A7E" w:rsidRDefault="00FE2A7E" w:rsidP="00FE2A7E">
            <w:pPr>
              <w:spacing w:after="0" w:line="240" w:lineRule="auto"/>
              <w:jc w:val="center"/>
              <w:rPr>
                <w:rFonts w:ascii="Times New Roman" w:eastAsia="Times New Roman" w:hAnsi="Times New Roman" w:cs="Times New Roman"/>
                <w:color w:val="000000"/>
                <w:sz w:val="20"/>
                <w:szCs w:val="20"/>
                <w:lang w:eastAsia="id-ID"/>
              </w:rPr>
            </w:pPr>
            <w:r w:rsidRPr="00FE2A7E">
              <w:rPr>
                <w:rFonts w:ascii="Times New Roman" w:eastAsia="Times New Roman" w:hAnsi="Times New Roman" w:cs="Times New Roman"/>
                <w:color w:val="000000"/>
                <w:sz w:val="20"/>
                <w:szCs w:val="20"/>
                <w:lang w:eastAsia="id-ID"/>
              </w:rPr>
              <w:t>1</w:t>
            </w:r>
          </w:p>
        </w:tc>
      </w:tr>
    </w:tbl>
    <w:p w:rsidR="00FE2A7E" w:rsidRDefault="00FE2A7E"/>
    <w:sectPr w:rsidR="00FE2A7E"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F3E98"/>
    <w:rsid w:val="00A80DF6"/>
    <w:rsid w:val="00A91768"/>
    <w:rsid w:val="00BB5203"/>
    <w:rsid w:val="00D74DB4"/>
    <w:rsid w:val="00FE2A7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FE2A7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FE2A7E"/>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FE2A7E"/>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FE2A7E"/>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FE2A7E"/>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6">
    <w:name w:val="xl116"/>
    <w:basedOn w:val="Normal"/>
    <w:rsid w:val="00FE2A7E"/>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FE2A7E"/>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FE2A7E"/>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FE2A7E"/>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FE2A7E"/>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FE2A7E"/>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FE2A7E"/>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3">
    <w:name w:val="xl123"/>
    <w:basedOn w:val="Normal"/>
    <w:rsid w:val="00FE2A7E"/>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FE2A7E"/>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5">
    <w:name w:val="xl125"/>
    <w:basedOn w:val="Normal"/>
    <w:rsid w:val="00FE2A7E"/>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6">
    <w:name w:val="xl126"/>
    <w:basedOn w:val="Normal"/>
    <w:rsid w:val="00FE2A7E"/>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7">
    <w:name w:val="xl127"/>
    <w:basedOn w:val="Normal"/>
    <w:rsid w:val="00FE2A7E"/>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8">
    <w:name w:val="xl128"/>
    <w:basedOn w:val="Normal"/>
    <w:rsid w:val="00FE2A7E"/>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9">
    <w:name w:val="xl129"/>
    <w:basedOn w:val="Normal"/>
    <w:rsid w:val="00FE2A7E"/>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18791304">
      <w:bodyDiv w:val="1"/>
      <w:marLeft w:val="0"/>
      <w:marRight w:val="0"/>
      <w:marTop w:val="0"/>
      <w:marBottom w:val="0"/>
      <w:divBdr>
        <w:top w:val="none" w:sz="0" w:space="0" w:color="auto"/>
        <w:left w:val="none" w:sz="0" w:space="0" w:color="auto"/>
        <w:bottom w:val="none" w:sz="0" w:space="0" w:color="auto"/>
        <w:right w:val="none" w:sz="0" w:space="0" w:color="auto"/>
      </w:divBdr>
    </w:div>
    <w:div w:id="119230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8685</Words>
  <Characters>49507</Characters>
  <Application>Microsoft Office Word</Application>
  <DocSecurity>0</DocSecurity>
  <Lines>412</Lines>
  <Paragraphs>116</Paragraphs>
  <ScaleCrop>false</ScaleCrop>
  <Company/>
  <LinksUpToDate>false</LinksUpToDate>
  <CharactersWithSpaces>58076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2012-10-16T09:54:00Z</dcterms:modified>
</cp:coreProperties>
</file>